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8A6901">
        <w:rPr>
          <w:rFonts w:ascii="Arial" w:hAnsi="Arial" w:cs="Arial"/>
          <w:b/>
          <w:bCs/>
          <w:sz w:val="28"/>
          <w:szCs w:val="28"/>
          <w:u w:val="single"/>
        </w:rPr>
        <w:t>Супринс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1A103E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410C1D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25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8A6901">
        <w:rPr>
          <w:rFonts w:ascii="Arial" w:hAnsi="Arial" w:cs="Arial"/>
          <w:i/>
          <w:iCs/>
          <w:sz w:val="28"/>
          <w:szCs w:val="28"/>
        </w:rPr>
        <w:t>Супринс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410C1D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410C1D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410C1D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79A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8204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8204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,6</w:t>
      </w:r>
      <w:r w:rsidR="00305082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 xml:space="preserve"> тыс.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0C1D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DF79AF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1) общий объем доходов бюджета сельского поселения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8264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,7</w:t>
      </w:r>
      <w:r w:rsidR="00D40B4F" w:rsidRPr="00DF79AF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8628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8264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,7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177,6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8628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,6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373,0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DF79AF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FF77F2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410C1D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410C1D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0C1D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410C1D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8A6901">
        <w:rPr>
          <w:rFonts w:ascii="Arial" w:hAnsi="Arial" w:cs="Arial"/>
        </w:rPr>
        <w:t>Супринс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410C1D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410C1D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8A6901">
        <w:rPr>
          <w:rFonts w:ascii="Arial" w:hAnsi="Arial" w:cs="Arial"/>
        </w:rPr>
        <w:t>Супринс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0C1D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410C1D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410C1D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</w:t>
      </w:r>
      <w:r w:rsidR="00E96CCB" w:rsidRPr="005D7791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0C1D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410C1D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410C1D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0C1D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410C1D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54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DF79AF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учету на территориях, где отсутств</w:t>
      </w:r>
      <w:r w:rsidR="00BE530E" w:rsidRPr="00DF79AF">
        <w:rPr>
          <w:rFonts w:ascii="Arial" w:hAnsi="Arial" w:cs="Arial"/>
          <w:color w:val="000000" w:themeColor="text1"/>
          <w:sz w:val="28"/>
          <w:szCs w:val="28"/>
        </w:rPr>
        <w:t xml:space="preserve">уют военные комиссариаты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217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237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410C1D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85255">
        <w:rPr>
          <w:rFonts w:ascii="Arial" w:hAnsi="Arial" w:cs="Arial"/>
          <w:color w:val="000000" w:themeColor="text1"/>
          <w:sz w:val="28"/>
          <w:szCs w:val="28"/>
        </w:rPr>
        <w:t>245</w:t>
      </w:r>
      <w:r w:rsidR="00CA5762" w:rsidRPr="00DF79AF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FF77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8A6901">
        <w:rPr>
          <w:sz w:val="28"/>
          <w:szCs w:val="28"/>
        </w:rPr>
        <w:t>Супринс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410C1D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106A7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E106A7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 xml:space="preserve">- </w:t>
      </w:r>
      <w:r w:rsidR="00756E3F">
        <w:rPr>
          <w:sz w:val="28"/>
          <w:szCs w:val="28"/>
        </w:rPr>
        <w:t xml:space="preserve">на индексацию на </w:t>
      </w:r>
      <w:r w:rsidR="00E106A7">
        <w:rPr>
          <w:sz w:val="28"/>
          <w:szCs w:val="28"/>
        </w:rPr>
        <w:t>10 процентов</w:t>
      </w:r>
      <w:r w:rsidR="00756E3F">
        <w:rPr>
          <w:sz w:val="28"/>
          <w:szCs w:val="28"/>
        </w:rPr>
        <w:t xml:space="preserve"> с 1 </w:t>
      </w:r>
      <w:r w:rsidR="00E106A7">
        <w:rPr>
          <w:sz w:val="28"/>
          <w:szCs w:val="28"/>
        </w:rPr>
        <w:t>января</w:t>
      </w:r>
      <w:r w:rsidR="00756E3F">
        <w:rPr>
          <w:sz w:val="28"/>
          <w:szCs w:val="28"/>
        </w:rPr>
        <w:t xml:space="preserve"> </w:t>
      </w:r>
      <w:r w:rsidR="00410C1D">
        <w:rPr>
          <w:sz w:val="28"/>
          <w:szCs w:val="28"/>
        </w:rPr>
        <w:t>2025</w:t>
      </w:r>
      <w:r w:rsidR="00756E3F">
        <w:rPr>
          <w:sz w:val="28"/>
          <w:szCs w:val="28"/>
        </w:rPr>
        <w:t xml:space="preserve"> года, на 4 процента с 1 октября </w:t>
      </w:r>
      <w:r w:rsidR="00410C1D">
        <w:rPr>
          <w:sz w:val="28"/>
          <w:szCs w:val="28"/>
        </w:rPr>
        <w:t>2026</w:t>
      </w:r>
      <w:r w:rsidR="00756E3F">
        <w:rPr>
          <w:sz w:val="28"/>
          <w:szCs w:val="28"/>
        </w:rPr>
        <w:t xml:space="preserve"> года и с 1 октября </w:t>
      </w:r>
      <w:r w:rsidR="00410C1D">
        <w:rPr>
          <w:sz w:val="28"/>
          <w:szCs w:val="28"/>
        </w:rPr>
        <w:t>2027</w:t>
      </w:r>
      <w:r w:rsidR="00756E3F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A94F3E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A94F3E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106A7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местного самоуправления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8A6901">
        <w:rPr>
          <w:rFonts w:ascii="Arial" w:hAnsi="Arial" w:cs="Arial"/>
          <w:sz w:val="28"/>
          <w:szCs w:val="28"/>
        </w:rPr>
        <w:t>Супринс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DF79AF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410C1D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106A7">
        <w:rPr>
          <w:rFonts w:ascii="Arial" w:hAnsi="Arial" w:cs="Arial"/>
          <w:color w:val="000000" w:themeColor="text1"/>
          <w:sz w:val="28"/>
          <w:szCs w:val="28"/>
        </w:rPr>
        <w:t>177,6</w:t>
      </w:r>
      <w:r w:rsidR="0064280A" w:rsidRPr="00DF79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79AF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79AF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410C1D">
        <w:rPr>
          <w:rFonts w:ascii="Arial" w:hAnsi="Arial" w:cs="Arial"/>
          <w:color w:val="000000"/>
          <w:sz w:val="28"/>
          <w:szCs w:val="28"/>
        </w:rPr>
        <w:t>2026</w:t>
      </w:r>
      <w:r w:rsidR="00E106A7">
        <w:rPr>
          <w:rFonts w:ascii="Arial" w:hAnsi="Arial" w:cs="Arial"/>
          <w:color w:val="000000"/>
          <w:sz w:val="28"/>
          <w:szCs w:val="28"/>
        </w:rPr>
        <w:t xml:space="preserve"> год в сумме 177,6 тыс. рублей, на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</w:t>
      </w:r>
      <w:r w:rsidR="00410C1D">
        <w:rPr>
          <w:rFonts w:ascii="Arial" w:hAnsi="Arial" w:cs="Arial"/>
          <w:color w:val="000000"/>
          <w:sz w:val="28"/>
          <w:szCs w:val="28"/>
        </w:rPr>
        <w:t>2027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год в сумме </w:t>
      </w:r>
      <w:r w:rsidR="00E106A7">
        <w:rPr>
          <w:rFonts w:ascii="Arial" w:hAnsi="Arial" w:cs="Arial"/>
          <w:color w:val="000000"/>
          <w:sz w:val="28"/>
          <w:szCs w:val="28"/>
        </w:rPr>
        <w:t>176,6</w:t>
      </w:r>
      <w:r w:rsidR="005C3343" w:rsidRPr="005C3343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79AF" w:rsidRPr="00DF79AF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DF79AF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DF79AF" w:rsidRPr="00DF79AF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64280A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8A6901">
        <w:rPr>
          <w:rFonts w:ascii="Arial" w:hAnsi="Arial" w:cs="Arial"/>
        </w:rPr>
        <w:t>Супринс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8A6901">
        <w:rPr>
          <w:rFonts w:ascii="Arial" w:hAnsi="Arial" w:cs="Arial"/>
        </w:rPr>
        <w:t>Супринс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A94F3E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A94F3E" w:rsidRPr="005D7791" w:rsidRDefault="00A94F3E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410C1D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года.</w:t>
      </w:r>
    </w:p>
    <w:p w:rsidR="001A103E" w:rsidRDefault="00082B44" w:rsidP="00365D1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="00365D15">
        <w:rPr>
          <w:rFonts w:ascii="Arial" w:hAnsi="Arial" w:cs="Arial"/>
          <w:b/>
          <w:bCs/>
        </w:rPr>
        <w:t xml:space="preserve">   </w:t>
      </w:r>
      <w:r w:rsidR="00365D15">
        <w:rPr>
          <w:rFonts w:ascii="Arial" w:hAnsi="Arial" w:cs="Arial"/>
        </w:rPr>
        <w:t xml:space="preserve"> </w:t>
      </w:r>
    </w:p>
    <w:p w:rsidR="00365D15" w:rsidRPr="00A20834" w:rsidRDefault="00365D15" w:rsidP="001A103E">
      <w:pPr>
        <w:pStyle w:val="a9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r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Pr="00A20834">
          <w:rPr>
            <w:rStyle w:val="af2"/>
            <w:rFonts w:ascii="Arial" w:hAnsi="Arial" w:cs="Arial"/>
            <w:lang w:val="en-US"/>
          </w:rPr>
          <w:t>http</w:t>
        </w:r>
        <w:r w:rsidRPr="00A20834">
          <w:rPr>
            <w:rStyle w:val="af2"/>
            <w:rFonts w:ascii="Arial" w:hAnsi="Arial" w:cs="Arial"/>
          </w:rPr>
          <w:t>://</w:t>
        </w:r>
        <w:r w:rsidRPr="00A20834">
          <w:rPr>
            <w:rStyle w:val="af2"/>
            <w:rFonts w:ascii="Arial" w:hAnsi="Arial" w:cs="Arial"/>
            <w:lang w:val="en-US"/>
          </w:rPr>
          <w:t>vagayst</w:t>
        </w:r>
        <w:r w:rsidRPr="00A20834">
          <w:rPr>
            <w:rStyle w:val="af2"/>
            <w:rFonts w:ascii="Arial" w:hAnsi="Arial" w:cs="Arial"/>
          </w:rPr>
          <w:t>.</w:t>
        </w:r>
        <w:r w:rsidRPr="00A20834">
          <w:rPr>
            <w:rStyle w:val="af2"/>
            <w:rFonts w:ascii="Arial" w:hAnsi="Arial" w:cs="Arial"/>
            <w:lang w:val="en-US"/>
          </w:rPr>
          <w:t>ru</w:t>
        </w:r>
        <w:r w:rsidRPr="00A20834">
          <w:rPr>
            <w:rStyle w:val="af2"/>
            <w:rFonts w:ascii="Arial" w:hAnsi="Arial" w:cs="Arial"/>
          </w:rPr>
          <w:t>/</w:t>
        </w:r>
      </w:hyperlink>
      <w:r>
        <w:rPr>
          <w:rFonts w:ascii="Arial" w:hAnsi="Arial" w:cs="Arial"/>
        </w:rPr>
        <w:t xml:space="preserve">) </w:t>
      </w:r>
      <w:r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Pr="00A20834">
          <w:rPr>
            <w:rStyle w:val="af2"/>
            <w:rFonts w:ascii="Arial" w:hAnsi="Arial" w:cs="Arial"/>
          </w:rPr>
          <w:t>http://vagai.admtyumen.ru/</w:t>
        </w:r>
      </w:hyperlink>
      <w:r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  <w:b/>
          <w:bCs/>
        </w:rPr>
        <w:t xml:space="preserve"> </w:t>
      </w:r>
    </w:p>
    <w:p w:rsidR="001A103E" w:rsidRPr="005D7791" w:rsidRDefault="001A103E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8A6901">
        <w:rPr>
          <w:rFonts w:ascii="Arial" w:hAnsi="Arial" w:cs="Arial"/>
        </w:rPr>
        <w:t>В.Г. Твердохлеб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</w:t>
      </w:r>
      <w:r w:rsidR="008A6901">
        <w:rPr>
          <w:rFonts w:ascii="Arial" w:hAnsi="Arial" w:cs="Arial"/>
        </w:rPr>
        <w:t xml:space="preserve">   </w:t>
      </w:r>
      <w:r w:rsidR="005D7791">
        <w:rPr>
          <w:rFonts w:ascii="Arial" w:hAnsi="Arial" w:cs="Arial"/>
        </w:rPr>
        <w:t xml:space="preserve"> </w:t>
      </w:r>
      <w:r w:rsidR="008A6901">
        <w:rPr>
          <w:rFonts w:ascii="Arial" w:hAnsi="Arial" w:cs="Arial"/>
        </w:rPr>
        <w:t>Н.С. Хуртова</w:t>
      </w:r>
    </w:p>
    <w:sectPr w:rsidR="000F03B9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50" w:rsidRDefault="00122250">
      <w:r>
        <w:separator/>
      </w:r>
    </w:p>
  </w:endnote>
  <w:endnote w:type="continuationSeparator" w:id="0">
    <w:p w:rsidR="00122250" w:rsidRDefault="0012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50" w:rsidRDefault="00122250">
      <w:r>
        <w:separator/>
      </w:r>
    </w:p>
  </w:footnote>
  <w:footnote w:type="continuationSeparator" w:id="0">
    <w:p w:rsidR="00122250" w:rsidRDefault="0012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1FBF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250"/>
    <w:rsid w:val="00122EC6"/>
    <w:rsid w:val="00124424"/>
    <w:rsid w:val="00127D00"/>
    <w:rsid w:val="0013781F"/>
    <w:rsid w:val="00142D74"/>
    <w:rsid w:val="00143AFF"/>
    <w:rsid w:val="00151120"/>
    <w:rsid w:val="00160347"/>
    <w:rsid w:val="00162606"/>
    <w:rsid w:val="00172B34"/>
    <w:rsid w:val="00176186"/>
    <w:rsid w:val="001768DC"/>
    <w:rsid w:val="001914CA"/>
    <w:rsid w:val="00194D70"/>
    <w:rsid w:val="001A103E"/>
    <w:rsid w:val="001A2CE2"/>
    <w:rsid w:val="001B6F9C"/>
    <w:rsid w:val="001C0B0A"/>
    <w:rsid w:val="001C497C"/>
    <w:rsid w:val="001D54D1"/>
    <w:rsid w:val="001E106B"/>
    <w:rsid w:val="001E54A2"/>
    <w:rsid w:val="001E54B2"/>
    <w:rsid w:val="001E6D64"/>
    <w:rsid w:val="001F2CEE"/>
    <w:rsid w:val="001F4FC1"/>
    <w:rsid w:val="001F7974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2F5CAE"/>
    <w:rsid w:val="00305082"/>
    <w:rsid w:val="003057DF"/>
    <w:rsid w:val="00306029"/>
    <w:rsid w:val="00307D40"/>
    <w:rsid w:val="00327333"/>
    <w:rsid w:val="00334889"/>
    <w:rsid w:val="003443AA"/>
    <w:rsid w:val="00353502"/>
    <w:rsid w:val="00365D15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32E6"/>
    <w:rsid w:val="00407599"/>
    <w:rsid w:val="00410C1D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85255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37ED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51487"/>
    <w:rsid w:val="005515B3"/>
    <w:rsid w:val="00582DB2"/>
    <w:rsid w:val="00586F5D"/>
    <w:rsid w:val="0059089A"/>
    <w:rsid w:val="00596117"/>
    <w:rsid w:val="005A0BEC"/>
    <w:rsid w:val="005A0BEE"/>
    <w:rsid w:val="005A674D"/>
    <w:rsid w:val="005B7AC9"/>
    <w:rsid w:val="005C3343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0811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56E3F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E6AAF"/>
    <w:rsid w:val="007F4865"/>
    <w:rsid w:val="007F4A7A"/>
    <w:rsid w:val="0080659D"/>
    <w:rsid w:val="00810D48"/>
    <w:rsid w:val="00823A6B"/>
    <w:rsid w:val="00830427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A6901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5C87"/>
    <w:rsid w:val="00937C03"/>
    <w:rsid w:val="00953FC3"/>
    <w:rsid w:val="00956673"/>
    <w:rsid w:val="009619AE"/>
    <w:rsid w:val="009636A2"/>
    <w:rsid w:val="009679EB"/>
    <w:rsid w:val="00972A04"/>
    <w:rsid w:val="009768E7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4F3E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92F85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DF79AF"/>
    <w:rsid w:val="00E02B0C"/>
    <w:rsid w:val="00E02EC9"/>
    <w:rsid w:val="00E05B91"/>
    <w:rsid w:val="00E106A7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14DDE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365D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365D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2024-12-02T09:43:00Z</dcterms:created>
  <dcterms:modified xsi:type="dcterms:W3CDTF">2024-12-02T09:43:00Z</dcterms:modified>
</cp:coreProperties>
</file>