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9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jpeg" ContentType="image/jpe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media/image19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tbl>
      <w:tblPr>
        <w:tblW w:w="9854" w:type="dxa"/>
        <w:jc w:val="left"/>
        <w:tblInd w:w="-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9854"/>
      </w:tblGrid>
      <w:tr>
        <w:trPr>
          <w:trHeight w:val="708" w:hRule="atLeast"/>
        </w:trPr>
        <w:tc>
          <w:tcPr>
            <w:tcW w:w="9854" w:type="dxa"/>
            <w:tcBorders>
              <w:bottom w:val="double" w:sz="12" w:space="0" w:color="000000"/>
            </w:tcBorders>
            <w:vAlign w:val="center"/>
          </w:tcPr>
          <w:p>
            <w:pPr>
              <w:pStyle w:val="Standard"/>
              <w:widowControl w:val="false"/>
              <w:jc w:val="center"/>
              <w:rPr>
                <w:b/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АДМИНИСТРАЦИЯ </w:t>
              <w:br/>
              <w:t>ВАГАЙСКОГО МУНИЦИПАЛЬНОГО РАЙОНА</w:t>
            </w:r>
          </w:p>
        </w:tc>
      </w:tr>
    </w:tbl>
    <w:p>
      <w:pPr>
        <w:pStyle w:val="Standard"/>
        <w:rPr>
          <w:rFonts w:ascii="Arial" w:hAnsi="Arial" w:cs="Arial"/>
          <w:b/>
          <w:b/>
          <w:sz w:val="32"/>
          <w:szCs w:val="32"/>
        </w:rPr>
      </w:pPr>
      <w:r>
        <w:rPr>
          <w:rFonts w:cs="Arial" w:ascii="Arial" w:hAnsi="Arial"/>
          <w:b/>
          <w:sz w:val="32"/>
          <w:szCs w:val="32"/>
        </w:rPr>
      </w:r>
    </w:p>
    <w:p>
      <w:pPr>
        <w:pStyle w:val="Standard"/>
        <w:rPr/>
      </w:pPr>
      <w:r>
        <w:rPr>
          <w:rFonts w:eastAsia="Arial" w:cs="Arial" w:ascii="Arial" w:hAnsi="Arial"/>
          <w:b/>
          <w:sz w:val="32"/>
          <w:szCs w:val="32"/>
        </w:rPr>
        <w:t xml:space="preserve">                                  </w:t>
      </w:r>
      <w:r>
        <w:rPr>
          <w:b/>
          <w:sz w:val="32"/>
          <w:szCs w:val="32"/>
        </w:rPr>
        <w:t>Р А С П О Р Я Ж Е Н И Е</w:t>
      </w:r>
    </w:p>
    <w:p>
      <w:pPr>
        <w:pStyle w:val="Standard"/>
        <w:rPr>
          <w:rFonts w:ascii="Arial" w:hAnsi="Arial" w:cs="Arial"/>
          <w:sz w:val="28"/>
          <w:szCs w:val="28"/>
        </w:rPr>
      </w:pPr>
      <w:r>
        <w:rPr>
          <w:rFonts w:eastAsia="Times New Roman" w:cs="Arial" w:ascii="Arial" w:hAnsi="Arial"/>
          <w:sz w:val="26"/>
          <w:szCs w:val="26"/>
          <w:u w:val="single"/>
          <w:lang w:bidi="ar-SA"/>
        </w:rPr>
        <w:t>25 августа 2025г.</w:t>
      </w:r>
      <w:r>
        <w:rPr>
          <w:rFonts w:cs="Arial" w:ascii="Arial" w:hAnsi="Arial"/>
          <w:sz w:val="28"/>
          <w:szCs w:val="28"/>
        </w:rPr>
        <w:t xml:space="preserve">                                                                                   </w:t>
      </w:r>
      <w:r>
        <w:rPr>
          <w:rFonts w:cs="Arial" w:ascii="Arial" w:hAnsi="Arial"/>
          <w:sz w:val="26"/>
          <w:szCs w:val="26"/>
          <w:u w:val="single"/>
        </w:rPr>
        <w:t>№</w:t>
      </w:r>
      <w:r>
        <w:rPr>
          <w:rFonts w:eastAsia="Times New Roman" w:cs="Arial" w:ascii="Arial" w:hAnsi="Arial"/>
          <w:sz w:val="26"/>
          <w:szCs w:val="26"/>
          <w:u w:val="single"/>
          <w:lang w:bidi="ar-SA"/>
        </w:rPr>
        <w:t>264-рз</w:t>
      </w:r>
    </w:p>
    <w:p>
      <w:pPr>
        <w:pStyle w:val="Standard"/>
        <w:rPr/>
      </w:pPr>
      <w:r>
        <w:rPr>
          <w:rFonts w:eastAsia="Arial" w:cs="Arial" w:ascii="Arial" w:hAnsi="Arial"/>
          <w:sz w:val="22"/>
          <w:szCs w:val="22"/>
        </w:rPr>
        <w:t xml:space="preserve">                                                                      </w:t>
      </w:r>
      <w:r>
        <w:rPr>
          <w:sz w:val="20"/>
          <w:szCs w:val="20"/>
        </w:rPr>
        <w:t>с. Вагай</w:t>
      </w:r>
    </w:p>
    <w:p>
      <w:pPr>
        <w:pStyle w:val="Standard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Standard"/>
        <w:jc w:val="both"/>
        <w:rPr>
          <w:sz w:val="22"/>
        </w:rPr>
      </w:pPr>
      <w:r>
        <w:rPr>
          <w:sz w:val="22"/>
        </w:rPr>
        <w:tab/>
        <w:tab/>
        <w:tab/>
        <w:tab/>
        <w:tab/>
        <w:tab/>
        <w:tab/>
        <w:tab/>
        <w:tab/>
      </w:r>
    </w:p>
    <w:tbl>
      <w:tblPr>
        <w:tblW w:w="5835" w:type="dxa"/>
        <w:jc w:val="left"/>
        <w:tblInd w:w="216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5835"/>
      </w:tblGrid>
      <w:tr>
        <w:trPr/>
        <w:tc>
          <w:tcPr>
            <w:tcW w:w="5835" w:type="dxa"/>
            <w:tcBorders/>
          </w:tcPr>
          <w:p>
            <w:pPr>
              <w:pStyle w:val="1"/>
              <w:widowControl w:val="false"/>
              <w:ind w:left="7" w:hanging="0"/>
              <w:jc w:val="center"/>
              <w:rPr>
                <w:rFonts w:eastAsia="Times New Roman"/>
                <w:bCs/>
                <w:i/>
                <w:i/>
                <w:szCs w:val="26"/>
              </w:rPr>
            </w:pPr>
            <w:r>
              <w:rPr>
                <w:rFonts w:eastAsia="Times New Roman"/>
                <w:bCs/>
                <w:i/>
                <w:szCs w:val="26"/>
              </w:rPr>
              <w:t>Об установлении публичного сервитута</w:t>
            </w:r>
          </w:p>
          <w:p>
            <w:pPr>
              <w:pStyle w:val="1"/>
              <w:widowControl w:val="false"/>
              <w:ind w:left="7" w:hanging="0"/>
              <w:jc w:val="center"/>
              <w:rPr>
                <w:bCs/>
                <w:i/>
                <w:i/>
                <w:szCs w:val="26"/>
              </w:rPr>
            </w:pPr>
            <w:r>
              <w:rPr>
                <w:bCs/>
                <w:i/>
                <w:szCs w:val="26"/>
              </w:rPr>
            </w:r>
          </w:p>
        </w:tc>
      </w:tr>
    </w:tbl>
    <w:p>
      <w:pPr>
        <w:pStyle w:val="Standard"/>
        <w:tabs>
          <w:tab w:val="clear" w:pos="709"/>
          <w:tab w:val="left" w:pos="5220" w:leader="none"/>
        </w:tabs>
        <w:spacing w:before="0" w:after="120"/>
        <w:ind w:right="4575" w:hanging="0"/>
        <w:jc w:val="both"/>
        <w:rPr>
          <w:rFonts w:ascii="Arial" w:hAnsi="Arial" w:cs="Arial"/>
          <w:i/>
          <w:i/>
          <w:sz w:val="26"/>
          <w:szCs w:val="26"/>
        </w:rPr>
      </w:pPr>
      <w:r>
        <w:rPr>
          <w:rFonts w:cs="Arial" w:ascii="Arial" w:hAnsi="Arial"/>
          <w:i/>
          <w:sz w:val="26"/>
          <w:szCs w:val="26"/>
        </w:rPr>
      </w:r>
    </w:p>
    <w:p>
      <w:pPr>
        <w:pStyle w:val="Standard"/>
        <w:jc w:val="both"/>
        <w:rPr/>
      </w:pPr>
      <w:r>
        <w:rPr>
          <w:rFonts w:cs="Arial" w:ascii="Arial" w:hAnsi="Arial"/>
          <w:bCs/>
          <w:sz w:val="26"/>
          <w:szCs w:val="26"/>
        </w:rPr>
        <w:t xml:space="preserve"> </w:t>
      </w:r>
      <w:r>
        <w:rPr>
          <w:rFonts w:cs="Arial" w:ascii="Arial" w:hAnsi="Arial"/>
          <w:bCs/>
          <w:sz w:val="26"/>
          <w:szCs w:val="26"/>
        </w:rPr>
        <w:tab/>
        <w:t>В соответствии с</w:t>
      </w:r>
      <w:r>
        <w:rPr>
          <w:rFonts w:cs="Arial" w:ascii="Arial" w:hAnsi="Arial"/>
          <w:bCs/>
          <w:sz w:val="26"/>
          <w:szCs w:val="26"/>
          <w:shd w:fill="auto" w:val="clear"/>
        </w:rPr>
        <w:t xml:space="preserve"> п.2 ст. 39.37 З</w:t>
      </w:r>
      <w:r>
        <w:rPr>
          <w:rFonts w:cs="Arial" w:ascii="Arial" w:hAnsi="Arial"/>
          <w:bCs/>
          <w:sz w:val="26"/>
          <w:szCs w:val="26"/>
        </w:rPr>
        <w:t>емельного кодексам Российской Федерации,  приказом Росреестра от 13.01.2021 № П/0004 «Об установлении требований к графическому описанию местоположения границ публичного сервитута, точности определения координат характерных точек границ публичного сервитута, формату электронного документа, содержащего указанные сведения», законом Тюменской области от 05.10.2001 №411 «О порядке распоряжения и управления государственными землями Тюменской области» законом Тюменской области от 26.12.2014 №125 «О перераспределении полномочий между органами местного самоуправления Тюменской области и органами государственной власти Тюменской области и внесение изменений в статью 14 Закона Тюменской области «О порядке распоряжения и управления государственными землями Тюменской области», руководствуясь Уставом Вагайского муниципального района на основании:</w:t>
      </w:r>
    </w:p>
    <w:p>
      <w:pPr>
        <w:pStyle w:val="Standard"/>
        <w:jc w:val="both"/>
        <w:rPr/>
      </w:pPr>
      <w:r>
        <w:rPr/>
      </w:r>
    </w:p>
    <w:p>
      <w:pPr>
        <w:pStyle w:val="Standard"/>
        <w:jc w:val="both"/>
        <w:rPr/>
      </w:pPr>
      <w:r>
        <w:rPr>
          <w:rFonts w:ascii="Arial" w:hAnsi="Arial"/>
          <w:bCs/>
          <w:sz w:val="26"/>
          <w:szCs w:val="26"/>
        </w:rPr>
        <w:t xml:space="preserve">      </w:t>
      </w:r>
      <w:r>
        <w:rPr>
          <w:rFonts w:ascii="Arial" w:hAnsi="Arial"/>
          <w:bCs/>
          <w:sz w:val="26"/>
          <w:szCs w:val="26"/>
        </w:rPr>
        <w:t xml:space="preserve">- </w:t>
      </w:r>
      <w:r>
        <w:rPr>
          <w:rFonts w:ascii="Arial" w:hAnsi="Arial"/>
          <w:sz w:val="26"/>
          <w:szCs w:val="26"/>
        </w:rPr>
        <w:t>ходатайства Акционерного общества «Транснефть – Западная Сибирь» (ОГРН 1025500514489, ИНН 5502020634, адрес: 644063, Омская область, г. Омск, ул. Красный путь, 111, 1) от 05.08.2025 № 5908094256;</w:t>
      </w:r>
    </w:p>
    <w:p>
      <w:pPr>
        <w:pStyle w:val="Normal"/>
        <w:widowControl/>
        <w:suppressAutoHyphens w:val="false"/>
        <w:jc w:val="both"/>
        <w:textAlignment w:val="auto"/>
        <w:rPr/>
      </w:pPr>
      <w:r>
        <w:rPr>
          <w:rFonts w:eastAsia="Times New Roman" w:cs="Arial" w:ascii="Arial" w:hAnsi="Arial"/>
          <w:sz w:val="26"/>
          <w:szCs w:val="20"/>
          <w:lang w:bidi="ar-SA"/>
        </w:rPr>
        <w:t xml:space="preserve"> </w:t>
      </w:r>
      <w:r>
        <w:rPr>
          <w:rFonts w:eastAsia="Times New Roman" w:cs="Arial" w:ascii="Arial" w:hAnsi="Arial"/>
          <w:sz w:val="26"/>
          <w:szCs w:val="20"/>
          <w:shd w:fill="auto" w:val="clear"/>
          <w:lang w:bidi="ar-SA"/>
        </w:rPr>
        <w:t xml:space="preserve">     </w:t>
      </w:r>
      <w:r>
        <w:rPr>
          <w:rFonts w:eastAsia="Times New Roman" w:cs="Arial" w:ascii="Arial" w:hAnsi="Arial"/>
          <w:sz w:val="26"/>
          <w:szCs w:val="20"/>
          <w:shd w:fill="auto" w:val="clear"/>
          <w:lang w:bidi="ar-SA"/>
        </w:rPr>
        <w:t>- выписки из Единого государственного реестра юридических лиц (место нахождени</w:t>
      </w:r>
      <w:r>
        <w:rPr>
          <w:rFonts w:cs="Arial" w:ascii="Arial" w:hAnsi="Arial"/>
          <w:sz w:val="26"/>
          <w:szCs w:val="20"/>
          <w:shd w:fill="auto" w:val="clear"/>
        </w:rPr>
        <w:t>я</w:t>
      </w:r>
      <w:r>
        <w:rPr>
          <w:rFonts w:eastAsia="Times New Roman" w:cs="Arial" w:ascii="Arial" w:hAnsi="Arial"/>
          <w:sz w:val="26"/>
          <w:szCs w:val="20"/>
          <w:shd w:fill="auto" w:val="clear"/>
          <w:lang w:bidi="ar-SA"/>
        </w:rPr>
        <w:t>: Омская область, г. Омск, ул. Красный Путь, д. 111, к</w:t>
      </w:r>
      <w:r>
        <w:rPr>
          <w:rFonts w:cs="TimesNewRomanPSMT" w:ascii="TimesNewRomanPSMT" w:hAnsi="TimesNewRomanPSMT"/>
          <w:kern w:val="0"/>
          <w:shd w:fill="auto" w:val="clear"/>
          <w:lang w:bidi="ar-SA"/>
        </w:rPr>
        <w:t>.)</w:t>
      </w:r>
      <w:r>
        <w:rPr>
          <w:rFonts w:eastAsia="Times New Roman" w:cs="Arial" w:ascii="Arial" w:hAnsi="Arial"/>
          <w:sz w:val="26"/>
          <w:szCs w:val="20"/>
          <w:shd w:fill="auto" w:val="clear"/>
          <w:lang w:bidi="ar-SA"/>
        </w:rPr>
        <w:t xml:space="preserve">  </w:t>
      </w:r>
      <w:r>
        <w:rPr>
          <w:rFonts w:eastAsia="Times New Roman" w:cs="Arial" w:ascii="Arial" w:hAnsi="Arial"/>
          <w:color w:val="000000"/>
          <w:sz w:val="26"/>
          <w:szCs w:val="26"/>
          <w:shd w:fill="auto" w:val="clear"/>
          <w:lang w:bidi="ar-SA"/>
        </w:rPr>
        <w:t>ОГРН 1025500514489, ИНН 5502020634;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 xml:space="preserve">      </w:t>
      </w:r>
      <w:r>
        <w:rPr>
          <w:rFonts w:ascii="Arial" w:hAnsi="Arial"/>
          <w:sz w:val="26"/>
          <w:szCs w:val="26"/>
          <w:shd w:fill="auto" w:val="clear"/>
        </w:rPr>
        <w:t>- публикации на сайте администрации Вагайского муниципального района 11.08.2025;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- публикации на сайте газеты «Сельский труженик» от 11.08.2025;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- графического описания местоположения границ публичного сервитута,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 xml:space="preserve">   </w:t>
      </w:r>
      <w:r>
        <w:rPr>
          <w:rFonts w:ascii="Arial" w:hAnsi="Arial"/>
          <w:sz w:val="26"/>
          <w:szCs w:val="26"/>
          <w:shd w:fill="auto" w:val="clear"/>
        </w:rPr>
        <w:t>1. Утвердить границы публичного сервитута в соответствии с графическим описанием местоположения границ (местоположение: Тюменская область, Вагайский район, Зареченское сельское поселение, Черноковское сельское поселение, ориентировочной площадью 161319 кв.м)  согласно приложению № 1 к настоящему распоряжению.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ab/>
        <w:t xml:space="preserve">2. Установить публичный сервитут в интересах Акционерного общества «Транснефть – Западная Сибирь» сроком с 21.11.2025 по 01.11.2026, </w:t>
      </w:r>
      <w:r>
        <w:rPr>
          <w:rFonts w:ascii="Arial" w:hAnsi="Arial"/>
          <w:kern w:val="0"/>
          <w:sz w:val="26"/>
          <w:szCs w:val="26"/>
          <w:shd w:fill="auto" w:val="clear"/>
        </w:rPr>
        <w:t xml:space="preserve">в целях </w:t>
      </w:r>
      <w:r>
        <w:rPr>
          <w:rFonts w:ascii="Arial" w:hAnsi="Arial"/>
          <w:sz w:val="26"/>
          <w:szCs w:val="26"/>
          <w:shd w:fill="auto" w:val="clear"/>
          <w:lang w:eastAsia="ru-RU"/>
        </w:rPr>
        <w:t xml:space="preserve">складирования строительных и иных материалов, возведения некапитальных строений, сооружений (включая ограждения, бытовки, навесы) и размещения строительной техники, которые необходимы для обеспечения реконструкции объекта трубопроводного транспорта </w:t>
      </w:r>
      <w:r>
        <w:rPr>
          <w:rFonts w:ascii="Arial" w:hAnsi="Arial"/>
          <w:sz w:val="26"/>
          <w:szCs w:val="26"/>
          <w:shd w:fill="auto" w:val="clear"/>
        </w:rPr>
        <w:t>федерального значения «Участок магистрального нефтепровода «Усть-Балык - Омск» 503 - 586 км. Замена трубы на участке 519 км - 524 км. Ишимское РНУ. Реконструкция. » в отношении: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iCs/>
          <w:sz w:val="26"/>
          <w:szCs w:val="26"/>
          <w:shd w:fill="auto" w:val="clear"/>
        </w:rPr>
        <w:t>- ч</w:t>
      </w:r>
      <w:r>
        <w:rPr>
          <w:rFonts w:ascii="Arial" w:hAnsi="Arial"/>
          <w:sz w:val="26"/>
          <w:szCs w:val="26"/>
          <w:shd w:fill="auto" w:val="clear"/>
        </w:rPr>
        <w:t xml:space="preserve">асти земельного участка с кадастровым номером </w:t>
      </w: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 xml:space="preserve">72:05:0512001:764, местоположение Тюменская область, Вагайский район, Зареченское сельское поселение, из категории </w:t>
      </w:r>
      <w:r>
        <w:rPr>
          <w:rFonts w:ascii="Arial" w:hAnsi="Arial"/>
          <w:sz w:val="26"/>
          <w:szCs w:val="26"/>
          <w:shd w:fill="auto" w:val="clear"/>
        </w:rPr>
        <w:t>земель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 xml:space="preserve">- части земельного участка с кадастровым номером </w:t>
      </w: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>72:05:0000000:1097, местоположение Тюменская область, Вагайский район, Вагайское лесничество, Вагайское сельское участковое лесничество, Зареченское СП;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>- ч</w:t>
      </w:r>
      <w:r>
        <w:rPr>
          <w:rFonts w:ascii="Arial" w:hAnsi="Arial"/>
          <w:sz w:val="26"/>
          <w:szCs w:val="26"/>
          <w:shd w:fill="auto" w:val="clear"/>
        </w:rPr>
        <w:t xml:space="preserve">асти земельного участка с кадастровым номером </w:t>
      </w: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>72:05:0000000:953, местоположение Тюменская область, Вагайский район, Зареченское СП, Вагайское лесничество, Черноковское участковое лесничество (часть);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>- ч</w:t>
      </w:r>
      <w:r>
        <w:rPr>
          <w:rFonts w:ascii="Arial" w:hAnsi="Arial"/>
          <w:sz w:val="26"/>
          <w:szCs w:val="26"/>
          <w:shd w:fill="auto" w:val="clear"/>
        </w:rPr>
        <w:t xml:space="preserve">асти земельного участка с кадастровым номером </w:t>
      </w: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>72:05:0000000:972, местоположение Тюменская область, Вагайский район, Черноковское СП, Вагайское лесничество, Черноковское участковое лесничество (часть);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>- ч</w:t>
      </w:r>
      <w:r>
        <w:rPr>
          <w:rFonts w:ascii="Arial" w:hAnsi="Arial"/>
          <w:sz w:val="26"/>
          <w:szCs w:val="26"/>
          <w:shd w:fill="auto" w:val="clear"/>
        </w:rPr>
        <w:t xml:space="preserve">асти земельного участка с кадастровым номером </w:t>
      </w: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 xml:space="preserve">72:05:0000000:1194, местоположение Тюменская область, Вагайский район, Черноковское сельское поселение из категории </w:t>
      </w:r>
      <w:r>
        <w:rPr>
          <w:rFonts w:ascii="Arial" w:hAnsi="Arial"/>
          <w:sz w:val="26"/>
          <w:szCs w:val="26"/>
          <w:shd w:fill="auto" w:val="clear"/>
        </w:rPr>
        <w:t>земель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>- ч</w:t>
      </w:r>
      <w:r>
        <w:rPr>
          <w:rFonts w:ascii="Arial" w:hAnsi="Arial"/>
          <w:sz w:val="26"/>
          <w:szCs w:val="26"/>
          <w:shd w:fill="auto" w:val="clear"/>
        </w:rPr>
        <w:t xml:space="preserve">асти земельного участка с кадастровым номером </w:t>
      </w: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>72:05:0000000:1124, местоположение Тюменская область, Вагайский р-н, Вагайское лесничество, Вагайское сельское участковое лесничество, Черноковское СП;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>- ч</w:t>
      </w:r>
      <w:r>
        <w:rPr>
          <w:rFonts w:ascii="Arial" w:hAnsi="Arial"/>
          <w:sz w:val="26"/>
          <w:szCs w:val="26"/>
          <w:shd w:fill="auto" w:val="clear"/>
        </w:rPr>
        <w:t xml:space="preserve">асти земельного участка с кадастровым номером </w:t>
      </w: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 xml:space="preserve">72:05:0000000:217, местоположение обл. Тюменская, р-н Вагайский, из категории </w:t>
      </w:r>
      <w:r>
        <w:rPr>
          <w:rFonts w:ascii="Arial" w:hAnsi="Arial"/>
          <w:sz w:val="26"/>
          <w:szCs w:val="26"/>
          <w:shd w:fill="auto" w:val="clear"/>
        </w:rPr>
        <w:t>земель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 xml:space="preserve">-части земельного участка с кадастровым номером </w:t>
      </w: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>72:05:0000000:482, местоположение Тюменская обл., р-н Вагайский, Вагайское лесничество: Вагайское участковое лесничество.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color w:val="000000"/>
          <w:kern w:val="0"/>
          <w:sz w:val="26"/>
          <w:szCs w:val="26"/>
          <w:shd w:fill="auto" w:val="clear"/>
          <w:lang w:eastAsia="ru-RU"/>
        </w:rPr>
        <w:tab/>
        <w:t>3</w:t>
      </w:r>
      <w:r>
        <w:rPr>
          <w:rFonts w:ascii="Arial" w:hAnsi="Arial"/>
          <w:sz w:val="26"/>
          <w:szCs w:val="26"/>
          <w:shd w:fill="auto" w:val="clear"/>
        </w:rPr>
        <w:t>. Срок, в течение которого использование земельного участка (его части) и (или) расположенного на нем объекта недвижимого имущества в соответствии с их разрешенным использованием будет невозможно или существенно затруднено в связи с осуществлением сервитута – 12 месяцев.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ab/>
        <w:t>4. Порядок установления зоны с особыми условиями использования территорий и содержание ограничений прав на часть земельных участков в границах таких зон определяется в соответствии с Правилами охраны магистральных трубопроводов, утвержденными Минтопэнерго России 29 апреля 1992 г., постановлением Госгортехнадзора России от 22 апреля 1992 г. N 9.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ab/>
        <w:t>5. Проект планировки территории, содержащий проект межевания территории, утвержден приказом Министерства энергетики Российской Федерации № 1163 29 октября 2021 года «Об утверждении документации по планировке территории для размещения объекта трубопроводного транспорта федерального значения «</w:t>
      </w:r>
      <w:r>
        <w:rPr>
          <w:rFonts w:ascii="Arial" w:hAnsi="Arial"/>
          <w:iCs/>
          <w:sz w:val="26"/>
          <w:szCs w:val="26"/>
          <w:shd w:fill="auto" w:val="clear"/>
        </w:rPr>
        <w:t>Участок магистрального нефтепровода «Усть-Балык - Омск» 503 - 586 км. Замена трубы на участке 519 км - 524 км. Ишимское РНУ. Реконструкция».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iCs/>
          <w:sz w:val="26"/>
          <w:szCs w:val="26"/>
          <w:shd w:fill="auto" w:val="clear"/>
        </w:rPr>
        <w:tab/>
        <w:t>6.</w:t>
      </w:r>
      <w:r>
        <w:rPr>
          <w:rFonts w:ascii="Arial" w:hAnsi="Arial"/>
          <w:sz w:val="26"/>
          <w:szCs w:val="26"/>
          <w:shd w:fill="auto" w:val="clear"/>
        </w:rPr>
        <w:t xml:space="preserve"> Плата за публичный сервитут, установленный в отношении земельных участков и (или) земель, находящихся в государственной или муниципальной собственности и не обремененных правами третьих лиц, вносится обладателем публичного сервитута единовременным платежом не позднее шести месяцев со дня принятия решения об установлении публичного сервитута.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Плата за публичный сервитут в отношении земельного участка, находящегося в государственной или муниципальной собственности и не обремененного правами третьих лиц, устанавливается в размере 0,01 процента кадастровой стоимости такого участка за каждый год использования такого земельного участка.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Плата за весь период публичного сервитута составляет: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b/>
          <w:bCs/>
          <w:sz w:val="26"/>
          <w:szCs w:val="26"/>
          <w:shd w:fill="auto" w:val="clear"/>
        </w:rPr>
        <w:t xml:space="preserve">1,05 </w:t>
      </w:r>
      <w:r>
        <w:rPr>
          <w:rFonts w:ascii="Arial" w:hAnsi="Arial"/>
          <w:sz w:val="26"/>
          <w:szCs w:val="26"/>
          <w:shd w:fill="auto" w:val="clear"/>
        </w:rPr>
        <w:t>(один рубль 05 копеек) руб.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Размер платы за публичный сервитут рассчитывается из среднего уровня кадастровой стоимости земельных участков по Вагайскому району, по следующей формуле: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П = УПКС х Пл х К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П — годовой размер платы, руб.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УПКС — средний удельный показатель кадастровой стоимости земельных участков, государственная собственность на которые не разграничена руб/кв.м.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Пл — площадь земель или земельного участка в установленных границах публичного сервитута;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К — коэффициент, равный 0,01% кадастровой стоимости земель (земельного участка, его части).</w:t>
      </w:r>
    </w:p>
    <w:tbl>
      <w:tblPr>
        <w:tblW w:w="9636" w:type="dxa"/>
        <w:jc w:val="left"/>
        <w:tblInd w:w="0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firstRow="0" w:noVBand="0" w:lastRow="0" w:firstColumn="0" w:lastColumn="0" w:noHBand="0" w:val="0000"/>
      </w:tblPr>
      <w:tblGrid>
        <w:gridCol w:w="2832"/>
        <w:gridCol w:w="1470"/>
        <w:gridCol w:w="1224"/>
        <w:gridCol w:w="1193"/>
        <w:gridCol w:w="1193"/>
        <w:gridCol w:w="1723"/>
      </w:tblGrid>
      <w:tr>
        <w:trPr/>
        <w:tc>
          <w:tcPr>
            <w:tcW w:w="28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Кадастровый номер земельного участка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УПКС</w:t>
            </w:r>
          </w:p>
        </w:tc>
        <w:tc>
          <w:tcPr>
            <w:tcW w:w="12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Пл</w:t>
            </w:r>
          </w:p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(кв.м.)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К</w:t>
            </w:r>
          </w:p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(%)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Годовой размер платы</w:t>
            </w:r>
          </w:p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(руб.)</w:t>
            </w:r>
          </w:p>
        </w:tc>
        <w:tc>
          <w:tcPr>
            <w:tcW w:w="17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Размер платы за весь период, руб.</w:t>
            </w:r>
          </w:p>
        </w:tc>
      </w:tr>
      <w:tr>
        <w:trPr/>
        <w:tc>
          <w:tcPr>
            <w:tcW w:w="283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Standard"/>
              <w:widowControl w:val="false"/>
              <w:jc w:val="both"/>
              <w:rPr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72:05:0512001:764</w:t>
            </w:r>
          </w:p>
        </w:tc>
        <w:tc>
          <w:tcPr>
            <w:tcW w:w="1470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0,36</w:t>
            </w:r>
          </w:p>
        </w:tc>
        <w:tc>
          <w:tcPr>
            <w:tcW w:w="1224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26693</w:t>
            </w:r>
          </w:p>
        </w:tc>
        <w:tc>
          <w:tcPr>
            <w:tcW w:w="1193" w:type="dxa"/>
            <w:tcBorders>
              <w:left w:val="single" w:sz="2" w:space="0" w:color="000000"/>
              <w:bottom w:val="single" w:sz="2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0,01</w:t>
            </w:r>
          </w:p>
        </w:tc>
        <w:tc>
          <w:tcPr>
            <w:tcW w:w="1193" w:type="dxa"/>
            <w:tcBorders>
              <w:left w:val="single" w:sz="2" w:space="0" w:color="000000"/>
              <w:bottom w:val="single" w:sz="2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0,96</w:t>
            </w:r>
          </w:p>
        </w:tc>
        <w:tc>
          <w:tcPr>
            <w:tcW w:w="172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0,91</w:t>
            </w:r>
          </w:p>
        </w:tc>
      </w:tr>
      <w:tr>
        <w:trPr/>
        <w:tc>
          <w:tcPr>
            <w:tcW w:w="283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72:05:0000000:1194</w:t>
            </w:r>
          </w:p>
        </w:tc>
        <w:tc>
          <w:tcPr>
            <w:tcW w:w="1470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0,36</w:t>
            </w:r>
          </w:p>
        </w:tc>
        <w:tc>
          <w:tcPr>
            <w:tcW w:w="1224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4133</w:t>
            </w:r>
          </w:p>
        </w:tc>
        <w:tc>
          <w:tcPr>
            <w:tcW w:w="1193" w:type="dxa"/>
            <w:tcBorders>
              <w:left w:val="single" w:sz="2" w:space="0" w:color="000000"/>
              <w:bottom w:val="single" w:sz="2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0,01</w:t>
            </w:r>
          </w:p>
        </w:tc>
        <w:tc>
          <w:tcPr>
            <w:tcW w:w="1193" w:type="dxa"/>
            <w:tcBorders>
              <w:left w:val="single" w:sz="2" w:space="0" w:color="000000"/>
              <w:bottom w:val="single" w:sz="2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0,15</w:t>
            </w:r>
          </w:p>
        </w:tc>
        <w:tc>
          <w:tcPr>
            <w:tcW w:w="172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0,14</w:t>
            </w:r>
          </w:p>
        </w:tc>
      </w:tr>
      <w:tr>
        <w:trPr/>
        <w:tc>
          <w:tcPr>
            <w:tcW w:w="5526" w:type="dxa"/>
            <w:gridSpan w:val="3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ИТОГО  за весь период (с 21.11.2025 по 01.11.2026, 346 кал.дней)</w:t>
            </w:r>
          </w:p>
        </w:tc>
        <w:tc>
          <w:tcPr>
            <w:tcW w:w="1193" w:type="dxa"/>
            <w:tcBorders>
              <w:left w:val="single" w:sz="2" w:space="0" w:color="000000"/>
              <w:bottom w:val="single" w:sz="2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</w:r>
          </w:p>
        </w:tc>
        <w:tc>
          <w:tcPr>
            <w:tcW w:w="1193" w:type="dxa"/>
            <w:tcBorders>
              <w:left w:val="single" w:sz="2" w:space="0" w:color="000000"/>
              <w:bottom w:val="single" w:sz="2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1,11</w:t>
            </w:r>
          </w:p>
        </w:tc>
        <w:tc>
          <w:tcPr>
            <w:tcW w:w="172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10" w:type="dxa"/>
              <w:bottom w:w="0" w:type="dxa"/>
              <w:right w:w="10" w:type="dxa"/>
            </w:tcMar>
          </w:tcPr>
          <w:p>
            <w:pPr>
              <w:pStyle w:val="Standard"/>
              <w:widowControl w:val="false"/>
              <w:jc w:val="both"/>
              <w:rPr>
                <w:rFonts w:ascii="Arial" w:hAnsi="Arial"/>
                <w:sz w:val="26"/>
                <w:szCs w:val="26"/>
                <w:shd w:fill="auto" w:val="clear"/>
              </w:rPr>
            </w:pPr>
            <w:r>
              <w:rPr>
                <w:rFonts w:ascii="Arial" w:hAnsi="Arial"/>
                <w:sz w:val="26"/>
                <w:szCs w:val="26"/>
                <w:shd w:fill="auto" w:val="clear"/>
              </w:rPr>
              <w:t>1,05</w:t>
            </w:r>
          </w:p>
        </w:tc>
      </w:tr>
    </w:tbl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Банковские реквизиты для оплаты: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Получатель: УФК по Тюменской области (Администрация Вагайского муниципального района) ИНН 7212004095 КПП 720601001 банк получателя: Отделение Тюмень Банка России//УФК по Тюменской области г. Тюмень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Корр. Счет №: 40102810945370000060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Расч. Счет №: 03100643000000016700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  <w:lang w:eastAsia="ru-RU"/>
        </w:rPr>
        <w:t>БИК: 017102101</w:t>
      </w:r>
      <w:r>
        <w:rPr>
          <w:rFonts w:ascii="Arial" w:hAnsi="Arial"/>
          <w:b/>
          <w:bCs/>
          <w:sz w:val="26"/>
          <w:szCs w:val="26"/>
          <w:shd w:fill="auto" w:val="clear"/>
          <w:lang w:eastAsia="ru-RU"/>
        </w:rPr>
        <w:t xml:space="preserve"> ОКТМО — 71613460</w:t>
      </w:r>
    </w:p>
    <w:p>
      <w:pPr>
        <w:pStyle w:val="Standard"/>
        <w:jc w:val="both"/>
        <w:rPr>
          <w:color w:val="auto"/>
          <w:shd w:fill="auto" w:val="clear"/>
        </w:rPr>
      </w:pPr>
      <w:r>
        <w:rPr>
          <w:rFonts w:ascii="Arial" w:hAnsi="Arial"/>
          <w:color w:val="000000"/>
          <w:sz w:val="26"/>
          <w:szCs w:val="26"/>
          <w:shd w:fill="auto" w:val="clear"/>
        </w:rPr>
        <w:t>КБК 282 1 11 05410 05 0000 120</w:t>
      </w:r>
      <w:r>
        <w:rPr>
          <w:rFonts w:ascii="Arial" w:hAnsi="Arial"/>
          <w:color w:val="000000"/>
          <w:sz w:val="26"/>
          <w:szCs w:val="26"/>
          <w:shd w:fill="auto" w:val="clear"/>
        </w:rPr>
        <w:t xml:space="preserve">  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 xml:space="preserve">   </w:t>
      </w:r>
      <w:r>
        <w:rPr>
          <w:rFonts w:ascii="Arial" w:hAnsi="Arial"/>
          <w:sz w:val="26"/>
          <w:szCs w:val="26"/>
          <w:shd w:fill="auto" w:val="clear"/>
        </w:rPr>
        <w:t xml:space="preserve">7. Обладатель публичного сервитута </w:t>
      </w:r>
      <w:r>
        <w:rPr>
          <w:rFonts w:eastAsia="Calibri" w:ascii="Arial" w:hAnsi="Arial"/>
          <w:sz w:val="26"/>
          <w:szCs w:val="26"/>
          <w:shd w:fill="auto" w:val="clear"/>
        </w:rPr>
        <w:t>обязан привести земельный участок в состояние, пригодное для его использования в соответствии с разрешенным использованием, в срок не позднее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 xml:space="preserve">    </w:t>
      </w:r>
      <w:r>
        <w:rPr>
          <w:rFonts w:ascii="Arial" w:hAnsi="Arial"/>
          <w:sz w:val="26"/>
          <w:szCs w:val="26"/>
          <w:shd w:fill="auto" w:val="clear"/>
        </w:rPr>
        <w:t>8. Публичный сервитут считается установленным со дня внесения сведений о нем в Единый государственный реестр недвижимости.</w:t>
      </w:r>
    </w:p>
    <w:p>
      <w:pPr>
        <w:pStyle w:val="Standard"/>
        <w:tabs>
          <w:tab w:val="clear" w:pos="709"/>
          <w:tab w:val="left" w:pos="585" w:leader="none"/>
          <w:tab w:val="left" w:pos="855" w:leader="none"/>
        </w:tabs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 xml:space="preserve">    </w:t>
      </w:r>
      <w:r>
        <w:rPr>
          <w:rFonts w:ascii="Arial" w:hAnsi="Arial"/>
          <w:sz w:val="26"/>
          <w:szCs w:val="26"/>
          <w:shd w:fill="auto" w:val="clear"/>
        </w:rPr>
        <w:t>9. Информация о графике проведения работ при осуществлении реконструкции объекта трубопроводного транспорта федерального значения «Участок магистрального нефтепровода «Усть-Балык - Омск» 503 - 586 км. Замена трубы на участке 519 км - 524 км. Ишимское РНУ. Реконструкция.» указана</w:t>
      </w:r>
      <w:r>
        <w:rPr>
          <w:rFonts w:ascii="Arial" w:hAnsi="Arial"/>
          <w:iCs/>
          <w:sz w:val="26"/>
          <w:szCs w:val="26"/>
          <w:shd w:fill="auto" w:val="clear"/>
        </w:rPr>
        <w:t xml:space="preserve"> в приложении № 2 к настоящему распоряжению.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 xml:space="preserve">     </w:t>
      </w:r>
      <w:r>
        <w:rPr>
          <w:rFonts w:ascii="Arial" w:hAnsi="Arial"/>
          <w:sz w:val="26"/>
          <w:szCs w:val="26"/>
          <w:shd w:fill="auto" w:val="clear"/>
        </w:rPr>
        <w:t>10. АО «Транснефть – Западная Сибирь»: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а) соблюдать установленные нормативными правовыми актами Российской Федерации, Тюменской области, муниципальными актами Вагайского муниципального района в области земельного законодательства требования по содержанию и использованию земельных участков, указанных в приложении №1 настоящего распоряжения, отношении которых устанавливается сервитут;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б) приступить к осуществлению деятельности, для обеспечения которой установлен публичный сервитут, не ранее дня внесения сведений о публичном сервитуте в Единый Государственный реестр недвижимости.</w:t>
      </w:r>
    </w:p>
    <w:p>
      <w:pPr>
        <w:pStyle w:val="Standard"/>
        <w:tabs>
          <w:tab w:val="clear" w:pos="709"/>
          <w:tab w:val="left" w:pos="630" w:leader="none"/>
          <w:tab w:val="left" w:pos="735" w:leader="none"/>
          <w:tab w:val="left" w:pos="1020" w:leader="none"/>
        </w:tabs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 xml:space="preserve">        </w:t>
      </w:r>
      <w:r>
        <w:rPr>
          <w:rFonts w:ascii="Arial" w:hAnsi="Arial"/>
          <w:sz w:val="26"/>
          <w:szCs w:val="26"/>
          <w:shd w:fill="auto" w:val="clear"/>
        </w:rPr>
        <w:t>11. Администрации Вагайского района Тюменской области в течении пяти рабочих дней со дня принятия настоящего распоряжения об установлении публичного сервитута: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а) разместить распоряжение об установлении публичного сервитута на официальном сайте администрации Вагайского муниципального района в информационно-телекоммуникационной сети «Интернет»;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б) обеспечить опубликование настоящего распоряжения (за исключением приложения к нему) в газете «Сельский труженик»;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в) направить копию настоящего распоряжения в порядке, установленным действующим законодательством: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- обладателю публичного сервитута — АО «Транснефть – Западная Сибирь»;</w:t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- в Управление Росреестра по Тюменской области.</w:t>
      </w:r>
    </w:p>
    <w:p>
      <w:pPr>
        <w:pStyle w:val="Standard"/>
        <w:jc w:val="both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both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both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both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Глава района</w:t>
        <w:tab/>
        <w:t xml:space="preserve">                                                                             С.М. Сидоренко</w:t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rFonts w:ascii="Arial" w:hAnsi="Arial"/>
          <w:sz w:val="26"/>
          <w:szCs w:val="26"/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</w:r>
    </w:p>
    <w:p>
      <w:pPr>
        <w:pStyle w:val="Standard"/>
        <w:jc w:val="right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Приложение №1                                                                                                                                                                                            к распоряжению администрации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Вагайского муниципального района</w:t>
      </w:r>
    </w:p>
    <w:p>
      <w:pPr>
        <w:pStyle w:val="Standard"/>
        <w:jc w:val="right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 xml:space="preserve"> </w:t>
      </w:r>
      <w:r>
        <w:rPr>
          <w:rFonts w:ascii="Arial" w:hAnsi="Arial"/>
          <w:sz w:val="26"/>
          <w:szCs w:val="26"/>
          <w:shd w:fill="auto" w:val="clear"/>
        </w:rPr>
        <w:t xml:space="preserve">Тюменской области </w:t>
      </w:r>
    </w:p>
    <w:p>
      <w:pPr>
        <w:pStyle w:val="Standard"/>
        <w:jc w:val="right"/>
        <w:rPr>
          <w:shd w:fill="auto" w:val="clear"/>
        </w:rPr>
      </w:pPr>
      <w:r>
        <w:rPr>
          <w:rFonts w:ascii="Arial" w:hAnsi="Arial"/>
          <w:sz w:val="26"/>
          <w:szCs w:val="26"/>
          <w:shd w:fill="auto" w:val="clear"/>
        </w:rPr>
        <w:t>от «____» _________2025 г. № _____</w:t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</w:rPr>
      </w:pPr>
      <w:r>
        <w:rPr>
          <w:sz w:val="28"/>
          <w:szCs w:val="28"/>
          <w:shd w:fill="auto" w:val="clear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5343525" cy="7372350"/>
            <wp:effectExtent l="0" t="0" r="0" b="0"/>
            <wp:docPr id="1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115050" cy="8382000"/>
            <wp:effectExtent l="0" t="0" r="0" b="0"/>
            <wp:docPr id="2" name="Рисунок 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7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115050" cy="8401050"/>
            <wp:effectExtent l="0" t="0" r="0" b="0"/>
            <wp:docPr id="3" name="Рисунок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8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115050" cy="8667750"/>
            <wp:effectExtent l="0" t="0" r="0" b="0"/>
            <wp:docPr id="4" name="Рисунок 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29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6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115050" cy="8420100"/>
            <wp:effectExtent l="0" t="0" r="0" b="0"/>
            <wp:docPr id="5" name="Рисунок 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30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115050" cy="8477250"/>
            <wp:effectExtent l="0" t="0" r="0" b="0"/>
            <wp:docPr id="6" name="Рисунок 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31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7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115050" cy="8524875"/>
            <wp:effectExtent l="0" t="0" r="0" b="0"/>
            <wp:docPr id="7" name="Рисунок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32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52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115050" cy="8496300"/>
            <wp:effectExtent l="0" t="0" r="0" b="0"/>
            <wp:docPr id="8" name="Рисунок 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33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115050" cy="8515350"/>
            <wp:effectExtent l="0" t="0" r="0" b="0"/>
            <wp:docPr id="9" name="Рисунок 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34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51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115050" cy="8515350"/>
            <wp:effectExtent l="0" t="0" r="0" b="0"/>
            <wp:docPr id="10" name="Рисунок 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35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51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115050" cy="8496300"/>
            <wp:effectExtent l="0" t="0" r="0" b="0"/>
            <wp:docPr id="11" name="Рисунок 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36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5952490" cy="8238490"/>
            <wp:effectExtent l="0" t="0" r="0" b="0"/>
            <wp:docPr id="12" name="Рисунок 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20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3817" t="11902" r="42268" b="6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90" cy="823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5993130" cy="8334375"/>
            <wp:effectExtent l="0" t="0" r="0" b="0"/>
            <wp:docPr id="13" name="Рисунок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2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3817" t="11902" r="42732" b="5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833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120130" cy="8656955"/>
            <wp:effectExtent l="0" t="0" r="0" b="0"/>
            <wp:docPr id="14" name="Рисунок 39" descr="Q:\04-01-Tmp\Срок хранения 2 суток\!!!БРЮТОВА Не удалять проверка ПАО\!ВИД!\Вагай\Схема границ сервитута.jpg\Схема границ сервитута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39" descr="Q:\04-01-Tmp\Срок хранения 2 суток\!!!БРЮТОВА Не удалять проверка ПАО\!ВИД!\Вагай\Схема границ сервитута.jpg\Схема границ сервитута-00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181725" cy="8801100"/>
            <wp:effectExtent l="0" t="0" r="0" b="0"/>
            <wp:docPr id="15" name="Рисунок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22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4281" t="12171" r="42732" b="5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5791200" cy="8261350"/>
            <wp:effectExtent l="0" t="0" r="0" b="0"/>
            <wp:docPr id="16" name="Рисунок 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23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4281" t="12171" r="42890" b="4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6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015990" cy="8048625"/>
            <wp:effectExtent l="0" t="0" r="0" b="0"/>
            <wp:docPr id="17" name="Рисунок 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24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3504" t="12728" r="42419" b="6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99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5953125" cy="8373110"/>
            <wp:effectExtent l="0" t="0" r="0" b="0"/>
            <wp:docPr id="18" name="Рисунок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25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3659" t="11902" r="43041" b="4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837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pStyle w:val="Standard"/>
        <w:spacing w:lineRule="auto" w:line="276"/>
        <w:jc w:val="both"/>
        <w:rPr>
          <w:sz w:val="28"/>
          <w:szCs w:val="28"/>
          <w:shd w:fill="auto" w:val="clear"/>
          <w:lang w:val="en-US"/>
        </w:rPr>
      </w:pPr>
      <w:r>
        <w:rPr>
          <w:sz w:val="28"/>
          <w:szCs w:val="28"/>
          <w:shd w:fill="auto" w:val="clear"/>
          <w:lang w:val="en-US"/>
        </w:rPr>
      </w:r>
    </w:p>
    <w:p>
      <w:pPr>
        <w:sectPr>
          <w:type w:val="nextPage"/>
          <w:pgSz w:w="11906" w:h="16838"/>
          <w:pgMar w:left="1701" w:right="567" w:header="0" w:top="993" w:footer="0" w:bottom="1134" w:gutter="0"/>
          <w:pgNumType w:fmt="decimal"/>
          <w:formProt w:val="false"/>
          <w:textDirection w:val="lrTb"/>
          <w:docGrid w:type="default" w:linePitch="100" w:charSpace="0"/>
        </w:sect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  <w:drawing>
          <wp:inline distT="0" distB="0" distL="0" distR="0">
            <wp:extent cx="6120130" cy="8656955"/>
            <wp:effectExtent l="0" t="0" r="0" b="0"/>
            <wp:docPr id="19" name="Рисунок 44" descr="Q:\04-01-Tmp\Срок хранения 2 суток\!!!БРЮТОВА Не удалять проверка ПАО\!ВИД!\Вагай\Схема границ сервитута.jpg\Схема границ сервитута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44" descr="Q:\04-01-Tmp\Срок хранения 2 суток\!!!БРЮТОВА Не удалять проверка ПАО\!ВИД!\Вагай\Схема границ сервитута.jpg\Схема границ сервитута-00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4838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792"/>
        <w:gridCol w:w="2318"/>
        <w:gridCol w:w="988"/>
        <w:gridCol w:w="1129"/>
        <w:gridCol w:w="988"/>
        <w:gridCol w:w="833"/>
        <w:gridCol w:w="721"/>
        <w:gridCol w:w="687"/>
        <w:gridCol w:w="636"/>
        <w:gridCol w:w="763"/>
        <w:gridCol w:w="1055"/>
        <w:gridCol w:w="911"/>
        <w:gridCol w:w="1181"/>
        <w:gridCol w:w="861"/>
        <w:gridCol w:w="975"/>
      </w:tblGrid>
      <w:tr>
        <w:trPr>
          <w:trHeight w:val="1483" w:hRule="atLeast"/>
        </w:trPr>
        <w:tc>
          <w:tcPr>
            <w:tcW w:w="14838" w:type="dxa"/>
            <w:gridSpan w:val="15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right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П</w:t>
            </w:r>
            <w:bookmarkStart w:id="0" w:name="RANGE!A1%3AS11"/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риложение № 2</w:t>
              <w:br/>
              <w:t xml:space="preserve">                                                                                                                                                                                          к распоряжению администрации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Вагайского муниципального района Тюменской области </w:t>
              <w:br/>
              <w:t>от «____» _________2025 г. № _____</w:t>
            </w:r>
            <w:bookmarkEnd w:id="0"/>
          </w:p>
        </w:tc>
      </w:tr>
      <w:tr>
        <w:trPr>
          <w:trHeight w:val="698" w:hRule="exact"/>
        </w:trPr>
        <w:tc>
          <w:tcPr>
            <w:tcW w:w="792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right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</w:r>
          </w:p>
        </w:tc>
        <w:tc>
          <w:tcPr>
            <w:tcW w:w="231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8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112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8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833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72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687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636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763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105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1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118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86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7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</w:tr>
      <w:tr>
        <w:trPr>
          <w:trHeight w:val="317" w:hRule="atLeast"/>
        </w:trPr>
        <w:tc>
          <w:tcPr>
            <w:tcW w:w="14838" w:type="dxa"/>
            <w:gridSpan w:val="15"/>
            <w:vMerge w:val="restart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z w:val="28"/>
                <w:szCs w:val="28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z w:val="28"/>
                <w:szCs w:val="28"/>
                <w:shd w:fill="auto" w:val="clear"/>
                <w:lang w:eastAsia="ru-RU" w:bidi="ar-SA"/>
              </w:rPr>
              <w:t>График выполнения работ при осуществлении реконструкции магистрального нефтепровода федерального значения «Усть-Балык - Омск» 503 - 586 км. Замена трубы на участке 519 км - 524 км.Ишимское РНУ. Реконструкция»</w:t>
            </w:r>
          </w:p>
        </w:tc>
      </w:tr>
      <w:tr>
        <w:trPr>
          <w:trHeight w:val="827" w:hRule="atLeast"/>
        </w:trPr>
        <w:tc>
          <w:tcPr>
            <w:tcW w:w="14838" w:type="dxa"/>
            <w:gridSpan w:val="15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z w:val="28"/>
                <w:szCs w:val="28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z w:val="28"/>
                <w:szCs w:val="28"/>
                <w:shd w:fill="auto" w:val="clear"/>
                <w:lang w:eastAsia="ru-RU" w:bidi="ar-SA"/>
              </w:rPr>
            </w:r>
          </w:p>
        </w:tc>
      </w:tr>
      <w:tr>
        <w:trPr>
          <w:trHeight w:val="855" w:hRule="atLeast"/>
        </w:trPr>
        <w:tc>
          <w:tcPr>
            <w:tcW w:w="79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 xml:space="preserve">№ </w:t>
            </w: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этапа</w:t>
            </w:r>
          </w:p>
        </w:tc>
        <w:tc>
          <w:tcPr>
            <w:tcW w:w="2318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 xml:space="preserve">        </w:t>
            </w: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Наименование этапов работ</w:t>
            </w:r>
          </w:p>
        </w:tc>
        <w:tc>
          <w:tcPr>
            <w:tcW w:w="211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2025</w:t>
            </w:r>
          </w:p>
        </w:tc>
        <w:tc>
          <w:tcPr>
            <w:tcW w:w="9611" w:type="dxa"/>
            <w:gridSpan w:val="11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2026</w:t>
            </w:r>
          </w:p>
        </w:tc>
      </w:tr>
      <w:tr>
        <w:trPr>
          <w:trHeight w:val="313" w:hRule="atLeast"/>
        </w:trPr>
        <w:tc>
          <w:tcPr>
            <w:tcW w:w="792" w:type="dxa"/>
            <w:vMerge w:val="continue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</w:r>
          </w:p>
        </w:tc>
        <w:tc>
          <w:tcPr>
            <w:tcW w:w="2318" w:type="dxa"/>
            <w:vMerge w:val="continue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</w:r>
          </w:p>
        </w:tc>
        <w:tc>
          <w:tcPr>
            <w:tcW w:w="98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ноябрь</w:t>
            </w:r>
          </w:p>
        </w:tc>
        <w:tc>
          <w:tcPr>
            <w:tcW w:w="112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декабрь</w:t>
            </w:r>
          </w:p>
        </w:tc>
        <w:tc>
          <w:tcPr>
            <w:tcW w:w="988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январь</w:t>
            </w:r>
          </w:p>
        </w:tc>
        <w:tc>
          <w:tcPr>
            <w:tcW w:w="83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февраль</w:t>
            </w:r>
          </w:p>
        </w:tc>
        <w:tc>
          <w:tcPr>
            <w:tcW w:w="721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март</w:t>
            </w:r>
          </w:p>
        </w:tc>
        <w:tc>
          <w:tcPr>
            <w:tcW w:w="6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апрель</w:t>
            </w:r>
          </w:p>
        </w:tc>
        <w:tc>
          <w:tcPr>
            <w:tcW w:w="636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май</w:t>
            </w:r>
          </w:p>
        </w:tc>
        <w:tc>
          <w:tcPr>
            <w:tcW w:w="76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июнь</w:t>
            </w:r>
          </w:p>
        </w:tc>
        <w:tc>
          <w:tcPr>
            <w:tcW w:w="105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июль</w:t>
            </w:r>
          </w:p>
        </w:tc>
        <w:tc>
          <w:tcPr>
            <w:tcW w:w="911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август</w:t>
            </w:r>
          </w:p>
        </w:tc>
        <w:tc>
          <w:tcPr>
            <w:tcW w:w="1181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сентябрь</w:t>
            </w:r>
          </w:p>
        </w:tc>
        <w:tc>
          <w:tcPr>
            <w:tcW w:w="861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октябрь</w:t>
            </w:r>
          </w:p>
        </w:tc>
        <w:tc>
          <w:tcPr>
            <w:tcW w:w="975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bottom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ноябрь</w:t>
            </w:r>
          </w:p>
        </w:tc>
      </w:tr>
      <w:tr>
        <w:trPr>
          <w:trHeight w:val="2367" w:hRule="atLeast"/>
        </w:trPr>
        <w:tc>
          <w:tcPr>
            <w:tcW w:w="792" w:type="dxa"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1</w:t>
            </w:r>
          </w:p>
        </w:tc>
        <w:tc>
          <w:tcPr>
            <w:tcW w:w="2318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Строительно-монтажные работы на магистральном нефтепроводе федерального значения «Усть-</w:t>
            </w:r>
            <w:bookmarkStart w:id="1" w:name="_GoBack"/>
            <w:bookmarkEnd w:id="1"/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Балык - Омск» 503 - 586 км. Замена трубы на участке 519 км - 524 км.Ишимское РНУ. Реконструкция»</w:t>
            </w:r>
          </w:p>
        </w:tc>
        <w:tc>
          <w:tcPr>
            <w:tcW w:w="988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X</w:t>
            </w:r>
          </w:p>
        </w:tc>
        <w:tc>
          <w:tcPr>
            <w:tcW w:w="1129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X</w:t>
            </w:r>
          </w:p>
        </w:tc>
        <w:tc>
          <w:tcPr>
            <w:tcW w:w="988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X</w:t>
            </w:r>
          </w:p>
        </w:tc>
        <w:tc>
          <w:tcPr>
            <w:tcW w:w="833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X</w:t>
            </w:r>
          </w:p>
        </w:tc>
        <w:tc>
          <w:tcPr>
            <w:tcW w:w="721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X</w:t>
            </w:r>
          </w:p>
        </w:tc>
        <w:tc>
          <w:tcPr>
            <w:tcW w:w="687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X</w:t>
            </w:r>
          </w:p>
        </w:tc>
        <w:tc>
          <w:tcPr>
            <w:tcW w:w="636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X</w:t>
            </w:r>
          </w:p>
        </w:tc>
        <w:tc>
          <w:tcPr>
            <w:tcW w:w="763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X</w:t>
            </w:r>
          </w:p>
        </w:tc>
        <w:tc>
          <w:tcPr>
            <w:tcW w:w="1055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X</w:t>
            </w:r>
          </w:p>
        </w:tc>
        <w:tc>
          <w:tcPr>
            <w:tcW w:w="911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X</w:t>
            </w:r>
          </w:p>
        </w:tc>
        <w:tc>
          <w:tcPr>
            <w:tcW w:w="1181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X</w:t>
            </w:r>
          </w:p>
        </w:tc>
        <w:tc>
          <w:tcPr>
            <w:tcW w:w="861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X</w:t>
            </w:r>
          </w:p>
        </w:tc>
        <w:tc>
          <w:tcPr>
            <w:tcW w:w="975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  <w:t>X</w:t>
            </w:r>
          </w:p>
        </w:tc>
      </w:tr>
      <w:tr>
        <w:trPr>
          <w:trHeight w:val="313" w:hRule="exact"/>
        </w:trPr>
        <w:tc>
          <w:tcPr>
            <w:tcW w:w="3110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jc w:val="center"/>
              <w:textAlignment w:val="auto"/>
              <w:rPr>
                <w:rFonts w:ascii="Franklin Gothic Book" w:hAnsi="Franklin Gothic Book" w:eastAsia="Times New Roman" w:cs="Times New Roman"/>
                <w:b/>
                <w:b/>
                <w:bCs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b/>
                <w:bCs/>
                <w:kern w:val="0"/>
                <w:shd w:fill="auto" w:val="clear"/>
                <w:lang w:eastAsia="ru-RU" w:bidi="ar-SA"/>
              </w:rPr>
            </w:r>
          </w:p>
        </w:tc>
        <w:tc>
          <w:tcPr>
            <w:tcW w:w="98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112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8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833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72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687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636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763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105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1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118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86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7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</w:tr>
      <w:tr>
        <w:trPr>
          <w:trHeight w:val="784" w:hRule="atLeast"/>
        </w:trPr>
        <w:tc>
          <w:tcPr>
            <w:tcW w:w="14838" w:type="dxa"/>
            <w:gridSpan w:val="15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  <w:t>*Примечание:</w:t>
              <w:br/>
              <w:t xml:space="preserve">- срок занятия земельных участков, находящихся в частной собственности, и предоставленных гражданам или юридическим лицам – 12 (двенадцать) месяцев </w:t>
            </w:r>
          </w:p>
        </w:tc>
      </w:tr>
      <w:tr>
        <w:trPr>
          <w:trHeight w:val="313" w:hRule="exact"/>
        </w:trPr>
        <w:tc>
          <w:tcPr>
            <w:tcW w:w="3110" w:type="dxa"/>
            <w:gridSpan w:val="2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Franklin Gothic Book" w:hAnsi="Franklin Gothic Book" w:eastAsia="Times New Roman" w:cs="Times New Roman"/>
                <w:kern w:val="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Franklin Gothic Book" w:hAnsi="Franklin Gothic Book"/>
                <w:kern w:val="0"/>
                <w:shd w:fill="auto" w:val="clear"/>
                <w:lang w:eastAsia="ru-RU" w:bidi="ar-SA"/>
              </w:rPr>
            </w:r>
          </w:p>
        </w:tc>
        <w:tc>
          <w:tcPr>
            <w:tcW w:w="98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112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8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833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72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687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636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763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105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1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118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86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7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</w:tr>
      <w:tr>
        <w:trPr>
          <w:trHeight w:val="313" w:hRule="exact"/>
        </w:trPr>
        <w:tc>
          <w:tcPr>
            <w:tcW w:w="792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231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8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1129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88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833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72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687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636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763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105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1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118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861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  <w:tc>
          <w:tcPr>
            <w:tcW w:w="975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false"/>
              <w:textAlignment w:val="auto"/>
              <w:rPr>
                <w:rFonts w:ascii="Times New Roman" w:hAnsi="Times New Roman" w:eastAsia="Times New Roman" w:cs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pPr>
            <w:r>
              <w:rPr>
                <w:rFonts w:eastAsia="Times New Roman" w:cs="Times New Roman" w:ascii="Times New Roman" w:hAnsi="Times New Roman"/>
                <w:kern w:val="0"/>
                <w:sz w:val="20"/>
                <w:szCs w:val="20"/>
                <w:shd w:fill="auto" w:val="clear"/>
                <w:lang w:eastAsia="ru-RU" w:bidi="ar-SA"/>
              </w:rPr>
            </w:r>
          </w:p>
        </w:tc>
      </w:tr>
    </w:tbl>
    <w:p>
      <w:pPr>
        <w:pStyle w:val="Standard"/>
        <w:spacing w:lineRule="auto" w:line="276"/>
        <w:jc w:val="both"/>
        <w:rPr>
          <w:shd w:fill="auto" w:val="clear"/>
        </w:rPr>
      </w:pPr>
      <w:r>
        <w:rPr>
          <w:shd w:fill="auto" w:val="clear"/>
        </w:rPr>
      </w:r>
    </w:p>
    <w:sectPr>
      <w:type w:val="nextPage"/>
      <w:pgSz w:orient="landscape" w:w="16838" w:h="11906"/>
      <w:pgMar w:left="1134" w:right="1134" w:header="0" w:top="993" w:footer="0" w:bottom="567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Arial">
    <w:charset w:val="cc"/>
    <w:family w:val="swiss"/>
    <w:pitch w:val="variable"/>
  </w:font>
  <w:font w:name="Times New Roman">
    <w:charset w:val="cc"/>
    <w:family w:val="roman"/>
    <w:pitch w:val="variable"/>
  </w:font>
  <w:font w:name="Segoe UI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roman"/>
    <w:pitch w:val="variable"/>
  </w:font>
  <w:font w:name="TimesNewRomanPSMT">
    <w:charset w:val="cc"/>
    <w:family w:val="roman"/>
    <w:pitch w:val="variable"/>
  </w:font>
  <w:font w:name="Franklin Gothic Book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Lucida Sans"/>
        <w:kern w:val="2"/>
        <w:sz w:val="24"/>
        <w:szCs w:val="24"/>
        <w:lang w:val="ru-RU" w:eastAsia="zh-CN" w:bidi="hi-IN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 w:val="false"/>
      <w:suppressAutoHyphens w:val="true"/>
      <w:bidi w:val="0"/>
      <w:spacing w:before="0" w:after="0"/>
      <w:jc w:val="left"/>
      <w:textAlignment w:val="baseline"/>
    </w:pPr>
    <w:rPr>
      <w:rFonts w:ascii="Liberation Serif" w:hAnsi="Liberation Serif" w:eastAsia="SimSun" w:cs="Lucida Sans"/>
      <w:color w:val="auto"/>
      <w:kern w:val="2"/>
      <w:sz w:val="24"/>
      <w:szCs w:val="24"/>
      <w:lang w:val="ru-RU" w:eastAsia="zh-CN" w:bidi="hi-IN"/>
    </w:rPr>
  </w:style>
  <w:style w:type="paragraph" w:styleId="1">
    <w:name w:val="Heading 1"/>
    <w:basedOn w:val="Standard"/>
    <w:next w:val="Standard"/>
    <w:qFormat/>
    <w:pPr>
      <w:keepNext w:val="true"/>
      <w:outlineLvl w:val="0"/>
    </w:pPr>
    <w:rPr>
      <w:rFonts w:ascii="Arial" w:hAnsi="Arial" w:eastAsia="Arial" w:cs="Arial"/>
      <w:sz w:val="26"/>
      <w:szCs w:val="20"/>
    </w:rPr>
  </w:style>
  <w:style w:type="paragraph" w:styleId="2">
    <w:name w:val="Heading 2"/>
    <w:basedOn w:val="Standard"/>
    <w:next w:val="Standard"/>
    <w:qFormat/>
    <w:pPr>
      <w:keepNext w:val="true"/>
      <w:outlineLvl w:val="1"/>
    </w:pPr>
    <w:rPr>
      <w:b/>
      <w:szCs w:val="20"/>
    </w:rPr>
  </w:style>
  <w:style w:type="paragraph" w:styleId="3">
    <w:name w:val="Heading 3"/>
    <w:basedOn w:val="Standard"/>
    <w:next w:val="Standard"/>
    <w:qFormat/>
    <w:pPr>
      <w:keepNext w:val="true"/>
      <w:outlineLvl w:val="2"/>
    </w:pPr>
    <w:rPr>
      <w:rFonts w:ascii="Arial" w:hAnsi="Arial" w:eastAsia="Arial" w:cs="Arial"/>
      <w:b/>
      <w:bCs/>
      <w:sz w:val="26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WW8Num1z0" w:customStyle="1">
    <w:name w:val="WW8Num1z0"/>
    <w:qFormat/>
    <w:rPr/>
  </w:style>
  <w:style w:type="character" w:styleId="WW8Num1z1" w:customStyle="1">
    <w:name w:val="WW8Num1z1"/>
    <w:qFormat/>
    <w:rPr/>
  </w:style>
  <w:style w:type="character" w:styleId="WW8Num1z2" w:customStyle="1">
    <w:name w:val="WW8Num1z2"/>
    <w:qFormat/>
    <w:rPr/>
  </w:style>
  <w:style w:type="character" w:styleId="WW8Num1z3" w:customStyle="1">
    <w:name w:val="WW8Num1z3"/>
    <w:qFormat/>
    <w:rPr/>
  </w:style>
  <w:style w:type="character" w:styleId="WW8Num1z4" w:customStyle="1">
    <w:name w:val="WW8Num1z4"/>
    <w:qFormat/>
    <w:rPr/>
  </w:style>
  <w:style w:type="character" w:styleId="WW8Num1z5" w:customStyle="1">
    <w:name w:val="WW8Num1z5"/>
    <w:qFormat/>
    <w:rPr/>
  </w:style>
  <w:style w:type="character" w:styleId="WW8Num1z6" w:customStyle="1">
    <w:name w:val="WW8Num1z6"/>
    <w:qFormat/>
    <w:rPr/>
  </w:style>
  <w:style w:type="character" w:styleId="WW8Num1z7" w:customStyle="1">
    <w:name w:val="WW8Num1z7"/>
    <w:qFormat/>
    <w:rPr/>
  </w:style>
  <w:style w:type="character" w:styleId="WW8Num1z8" w:customStyle="1">
    <w:name w:val="WW8Num1z8"/>
    <w:qFormat/>
    <w:rPr/>
  </w:style>
  <w:style w:type="character" w:styleId="Internetlink" w:customStyle="1">
    <w:name w:val="Hyperlink"/>
    <w:qFormat/>
    <w:rPr>
      <w:color w:val="000080"/>
      <w:u w:val="single"/>
    </w:rPr>
  </w:style>
  <w:style w:type="character" w:styleId="CharacterStyle11" w:customStyle="1">
    <w:name w:val="CharacterStyle11"/>
    <w:qFormat/>
    <w:rPr>
      <w:rFonts w:ascii="Times New Roman" w:hAnsi="Times New Roman" w:eastAsia="Times New Roman" w:cs="Times New Roman"/>
      <w:b w:val="false"/>
      <w:i w:val="false"/>
      <w:strike w:val="false"/>
      <w:dstrike w:val="false"/>
      <w:color w:val="000000"/>
      <w:sz w:val="24"/>
      <w:szCs w:val="24"/>
      <w:u w:val="none"/>
    </w:rPr>
  </w:style>
  <w:style w:type="character" w:styleId="Annotationreference">
    <w:name w:val="annotation reference"/>
    <w:basedOn w:val="DefaultParagraphFont"/>
    <w:uiPriority w:val="99"/>
    <w:semiHidden/>
    <w:unhideWhenUsed/>
    <w:qFormat/>
    <w:rsid w:val="00ff0eff"/>
    <w:rPr>
      <w:sz w:val="16"/>
      <w:szCs w:val="16"/>
    </w:rPr>
  </w:style>
  <w:style w:type="character" w:styleId="Style11" w:customStyle="1">
    <w:name w:val="Текст примечания Знак"/>
    <w:basedOn w:val="DefaultParagraphFont"/>
    <w:link w:val="a6"/>
    <w:uiPriority w:val="99"/>
    <w:semiHidden/>
    <w:qFormat/>
    <w:rsid w:val="00ff0eff"/>
    <w:rPr>
      <w:rFonts w:cs="Mangal"/>
      <w:sz w:val="20"/>
      <w:szCs w:val="18"/>
    </w:rPr>
  </w:style>
  <w:style w:type="character" w:styleId="Style12" w:customStyle="1">
    <w:name w:val="Тема примечания Знак"/>
    <w:basedOn w:val="Style11"/>
    <w:link w:val="a8"/>
    <w:uiPriority w:val="99"/>
    <w:semiHidden/>
    <w:qFormat/>
    <w:rsid w:val="00ff0eff"/>
    <w:rPr>
      <w:rFonts w:cs="Mangal"/>
      <w:b/>
      <w:bCs/>
      <w:sz w:val="20"/>
      <w:szCs w:val="18"/>
    </w:rPr>
  </w:style>
  <w:style w:type="character" w:styleId="Style13" w:customStyle="1">
    <w:name w:val="Текст выноски Знак"/>
    <w:basedOn w:val="DefaultParagraphFont"/>
    <w:link w:val="aa"/>
    <w:uiPriority w:val="99"/>
    <w:semiHidden/>
    <w:qFormat/>
    <w:rsid w:val="00ff0eff"/>
    <w:rPr>
      <w:rFonts w:ascii="Segoe UI" w:hAnsi="Segoe UI" w:cs="Mangal"/>
      <w:sz w:val="18"/>
      <w:szCs w:val="16"/>
    </w:rPr>
  </w:style>
  <w:style w:type="paragraph" w:styleId="Style14" w:customStyle="1">
    <w:name w:val="Заголовок"/>
    <w:basedOn w:val="Standard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Textbody"/>
    <w:pPr/>
    <w:rPr>
      <w:rFonts w:cs="Lucida Sans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8" w:customStyle="1">
    <w:name w:val="Указатель"/>
    <w:basedOn w:val="Standard"/>
    <w:qFormat/>
    <w:pPr>
      <w:suppressLineNumbers/>
    </w:pPr>
    <w:rPr>
      <w:rFonts w:cs="Lucida Sans"/>
    </w:rPr>
  </w:style>
  <w:style w:type="paragraph" w:styleId="Standard" w:customStyle="1">
    <w:name w:val="Standard"/>
    <w:qFormat/>
    <w:pPr>
      <w:widowControl/>
      <w:suppressAutoHyphens w:val="true"/>
      <w:bidi w:val="0"/>
      <w:spacing w:before="0" w:after="0"/>
      <w:jc w:val="left"/>
      <w:textAlignment w:val="baseline"/>
    </w:pPr>
    <w:rPr>
      <w:rFonts w:ascii="Times New Roman" w:hAnsi="Times New Roman" w:eastAsia="Times New Roman" w:cs="Times New Roman"/>
      <w:color w:val="auto"/>
      <w:kern w:val="2"/>
      <w:sz w:val="24"/>
      <w:szCs w:val="24"/>
      <w:lang w:bidi="ar-SA" w:val="ru-RU" w:eastAsia="zh-CN"/>
    </w:rPr>
  </w:style>
  <w:style w:type="paragraph" w:styleId="Textbody" w:customStyle="1">
    <w:name w:val="Text body"/>
    <w:basedOn w:val="Standard"/>
    <w:qFormat/>
    <w:pPr/>
    <w:rPr>
      <w:rFonts w:ascii="Arial" w:hAnsi="Arial" w:eastAsia="Arial" w:cs="Arial"/>
      <w:sz w:val="26"/>
    </w:rPr>
  </w:style>
  <w:style w:type="paragraph" w:styleId="Caption">
    <w:name w:val="caption"/>
    <w:basedOn w:val="Standard"/>
    <w:qFormat/>
    <w:pPr>
      <w:suppressLineNumbers/>
      <w:spacing w:before="120" w:after="120"/>
    </w:pPr>
    <w:rPr>
      <w:rFonts w:cs="Lucida Sans"/>
      <w:i/>
      <w:iCs/>
    </w:rPr>
  </w:style>
  <w:style w:type="paragraph" w:styleId="BodyText2">
    <w:name w:val="Body Text 2"/>
    <w:basedOn w:val="Standard"/>
    <w:qFormat/>
    <w:pPr>
      <w:jc w:val="both"/>
    </w:pPr>
    <w:rPr>
      <w:rFonts w:ascii="Arial" w:hAnsi="Arial" w:eastAsia="Arial" w:cs="Arial"/>
      <w:sz w:val="26"/>
    </w:rPr>
  </w:style>
  <w:style w:type="paragraph" w:styleId="Style19" w:customStyle="1">
    <w:name w:val="Содержимое таблицы"/>
    <w:basedOn w:val="Standard"/>
    <w:qFormat/>
    <w:pPr>
      <w:suppressLineNumbers/>
    </w:pPr>
    <w:rPr/>
  </w:style>
  <w:style w:type="paragraph" w:styleId="Style20" w:customStyle="1">
    <w:name w:val="Заголовок таблицы"/>
    <w:basedOn w:val="Style19"/>
    <w:qFormat/>
    <w:pPr>
      <w:jc w:val="center"/>
    </w:pPr>
    <w:rPr>
      <w:b/>
      <w:bCs/>
    </w:rPr>
  </w:style>
  <w:style w:type="paragraph" w:styleId="Annotationtext">
    <w:name w:val="annotation text"/>
    <w:basedOn w:val="Normal"/>
    <w:link w:val="a7"/>
    <w:uiPriority w:val="99"/>
    <w:semiHidden/>
    <w:unhideWhenUsed/>
    <w:qFormat/>
    <w:rsid w:val="00ff0eff"/>
    <w:pPr/>
    <w:rPr>
      <w:rFonts w:cs="Mangal"/>
      <w:sz w:val="20"/>
      <w:szCs w:val="18"/>
    </w:rPr>
  </w:style>
  <w:style w:type="paragraph" w:styleId="Annotationsubject">
    <w:name w:val="annotation subject"/>
    <w:basedOn w:val="Annotationtext"/>
    <w:next w:val="Annotationtext"/>
    <w:link w:val="a9"/>
    <w:uiPriority w:val="99"/>
    <w:semiHidden/>
    <w:unhideWhenUsed/>
    <w:qFormat/>
    <w:rsid w:val="00ff0eff"/>
    <w:pPr/>
    <w:rPr>
      <w:b/>
      <w:bCs/>
    </w:rPr>
  </w:style>
  <w:style w:type="paragraph" w:styleId="BalloonText">
    <w:name w:val="Balloon Text"/>
    <w:basedOn w:val="Normal"/>
    <w:link w:val="ab"/>
    <w:uiPriority w:val="99"/>
    <w:semiHidden/>
    <w:unhideWhenUsed/>
    <w:qFormat/>
    <w:rsid w:val="00ff0eff"/>
    <w:pPr/>
    <w:rPr>
      <w:rFonts w:ascii="Segoe UI" w:hAnsi="Segoe UI" w:cs="Mangal"/>
      <w:sz w:val="18"/>
      <w:szCs w:val="16"/>
    </w:rPr>
  </w:style>
  <w:style w:type="paragraph" w:styleId="Revision">
    <w:name w:val="Revision"/>
    <w:uiPriority w:val="99"/>
    <w:semiHidden/>
    <w:qFormat/>
    <w:rsid w:val="00441810"/>
    <w:pPr>
      <w:widowControl/>
      <w:suppressAutoHyphens w:val="false"/>
      <w:bidi w:val="0"/>
      <w:spacing w:before="0" w:after="0"/>
      <w:jc w:val="left"/>
      <w:textAlignment w:val="auto"/>
    </w:pPr>
    <w:rPr>
      <w:rFonts w:cs="Mangal" w:ascii="Liberation Serif" w:hAnsi="Liberation Serif" w:eastAsia="SimSun"/>
      <w:color w:val="auto"/>
      <w:kern w:val="2"/>
      <w:sz w:val="24"/>
      <w:szCs w:val="21"/>
      <w:lang w:val="ru-RU" w:eastAsia="zh-CN" w:bidi="hi-IN"/>
    </w:rPr>
  </w:style>
  <w:style w:type="numbering" w:styleId="NoList" w:default="1">
    <w:name w:val="No List"/>
    <w:uiPriority w:val="99"/>
    <w:semiHidden/>
    <w:unhideWhenUsed/>
    <w:qFormat/>
  </w:style>
  <w:style w:type="numbering" w:styleId="WW8Num1" w:customStyle="1">
    <w:name w:val="WW8Num1"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jpe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7.png"/><Relationship Id="rId19" Type="http://schemas.openxmlformats.org/officeDocument/2006/relationships/image" Target="media/image18.png"/><Relationship Id="rId20" Type="http://schemas.openxmlformats.org/officeDocument/2006/relationships/image" Target="media/image19.jpeg"/><Relationship Id="rId21" Type="http://schemas.openxmlformats.org/officeDocument/2006/relationships/fontTable" Target="fontTable.xml"/><Relationship Id="rId22" Type="http://schemas.openxmlformats.org/officeDocument/2006/relationships/settings" Target="settings.xml"/><Relationship Id="rId2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Application>LibreOffice/7.0.6.2$Windows_X86_64 LibreOffice_project/144abb84a525d8e30c9dbbefa69cbbf2d8d4ae3b</Application>
  <AppVersion>15.0000</AppVersion>
  <Pages>25</Pages>
  <Words>1300</Words>
  <Characters>9292</Characters>
  <CharactersWithSpaces>12001</CharactersWithSpaces>
  <Paragraphs>135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2025-08-25T05:10:00Z</dcterms:created>
  <dc:creator>MO_User</dc:creator>
  <dc:description/>
  <dc:language>ru-RU</dc:language>
  <cp:lastModifiedBy/>
  <cp:lastPrinted>2024-11-11T13:08:00Z</cp:lastPrinted>
  <dcterms:modified xsi:type="dcterms:W3CDTF">2025-08-28T08:26:12Z</dcterms:modified>
  <cp:revision>15</cp:revision>
  <dc:subject/>
  <dc:title>Приложение I 17а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